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66" w:rsidRDefault="00E7431E" w:rsidP="00E7431E">
      <w:pPr>
        <w:tabs>
          <w:tab w:val="left" w:pos="5812"/>
        </w:tabs>
        <w:spacing w:after="0" w:line="240" w:lineRule="auto"/>
        <w:ind w:left="5812" w:hanging="856"/>
        <w:jc w:val="both"/>
        <w:rPr>
          <w:rFonts w:ascii="Century Gothic" w:eastAsia="Times New Roman" w:hAnsi="Century Gothic" w:cs="Arial"/>
          <w:sz w:val="18"/>
          <w:szCs w:val="20"/>
          <w:lang w:val="es-ES" w:eastAsia="es-ES"/>
        </w:rPr>
      </w:pPr>
      <w:bookmarkStart w:id="0" w:name="_GoBack"/>
      <w:bookmarkEnd w:id="0"/>
      <w:r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ANT.: </w:t>
      </w:r>
      <w:r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="000E1707" w:rsidRP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Artículo </w:t>
      </w:r>
      <w:r w:rsidR="0079288C">
        <w:rPr>
          <w:rFonts w:ascii="Century Gothic" w:eastAsia="Times New Roman" w:hAnsi="Century Gothic" w:cs="Arial"/>
          <w:sz w:val="20"/>
          <w:szCs w:val="20"/>
          <w:lang w:val="es-ES" w:eastAsia="es-ES"/>
        </w:rPr>
        <w:t>14 t</w:t>
      </w:r>
      <w:r w:rsidR="000E1707" w:rsidRP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ransitorio</w:t>
      </w:r>
      <w:r w:rsidR="0079288C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del Decreto Supremo MOP N° 75, de 2004</w:t>
      </w:r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,</w:t>
      </w:r>
      <w:r w:rsidR="0079288C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aprobado por el</w:t>
      </w:r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Decreto </w:t>
      </w:r>
      <w:r w:rsidR="0079288C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Supremo </w:t>
      </w:r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MOP</w:t>
      </w:r>
      <w:r w:rsidR="000E1707" w:rsidRP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N°</w:t>
      </w:r>
      <w:r w:rsidR="0079288C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</w:t>
      </w:r>
      <w:r w:rsidR="000E1707" w:rsidRP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177</w:t>
      </w:r>
      <w:r w:rsidR="000E170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.</w:t>
      </w:r>
    </w:p>
    <w:p w:rsidR="0079288C" w:rsidRPr="00832C66" w:rsidRDefault="0079288C" w:rsidP="0079288C">
      <w:pPr>
        <w:tabs>
          <w:tab w:val="left" w:pos="5812"/>
        </w:tabs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3F45" w:rsidRPr="006D51F7" w:rsidRDefault="00A2395D" w:rsidP="00697717">
      <w:pPr>
        <w:tabs>
          <w:tab w:val="left" w:pos="5812"/>
        </w:tabs>
        <w:spacing w:after="0" w:line="240" w:lineRule="auto"/>
        <w:ind w:left="5812" w:hanging="856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MAT.:</w:t>
      </w:r>
      <w:r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="000E1707" w:rsidRP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Solicita</w:t>
      </w:r>
      <w:r w:rsidR="000E170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</w:t>
      </w:r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pronunciamiento respecto de la aplicación</w:t>
      </w:r>
      <w:r w:rsidR="0079288C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del </w:t>
      </w:r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Artículo </w:t>
      </w:r>
      <w:r w:rsidR="001D6910">
        <w:rPr>
          <w:rFonts w:ascii="Century Gothic" w:eastAsia="Times New Roman" w:hAnsi="Century Gothic" w:cs="Arial"/>
          <w:sz w:val="20"/>
          <w:szCs w:val="20"/>
          <w:lang w:val="es-ES" w:eastAsia="es-ES"/>
        </w:rPr>
        <w:t>14 Transitorio, aprobado por el Decreto Supremo MOP</w:t>
      </w:r>
      <w:r w:rsidR="001D6910" w:rsidRP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N°</w:t>
      </w:r>
      <w:r w:rsidR="001D6910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</w:t>
      </w:r>
      <w:r w:rsidR="001D6910" w:rsidRP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177</w:t>
      </w:r>
      <w:r w:rsidR="001D6910">
        <w:rPr>
          <w:rFonts w:ascii="Century Gothic" w:eastAsia="Times New Roman" w:hAnsi="Century Gothic" w:cs="Arial"/>
          <w:sz w:val="20"/>
          <w:szCs w:val="20"/>
          <w:lang w:val="es-ES" w:eastAsia="es-ES"/>
        </w:rPr>
        <w:t>,</w:t>
      </w:r>
      <w:r w:rsidR="001D6910" w:rsidRP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</w:t>
      </w:r>
      <w:r w:rsidR="001D6910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de 2022, </w:t>
      </w:r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que aplica mecanismo de </w:t>
      </w:r>
      <w:proofErr w:type="spellStart"/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reajustabilidad</w:t>
      </w:r>
      <w:proofErr w:type="spellEnd"/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</w:t>
      </w:r>
      <w:r w:rsidR="0079288C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excepcional </w:t>
      </w:r>
      <w:r w:rsidR="000E1707">
        <w:rPr>
          <w:rFonts w:ascii="Century Gothic" w:eastAsia="Times New Roman" w:hAnsi="Century Gothic" w:cs="Arial"/>
          <w:sz w:val="20"/>
          <w:szCs w:val="20"/>
          <w:lang w:val="es-ES" w:eastAsia="es-ES"/>
        </w:rPr>
        <w:t>a contratos de Obra Pública</w:t>
      </w:r>
      <w:r w:rsidR="0079288C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que indica</w:t>
      </w:r>
      <w:r w:rsidR="000E1707" w:rsidRPr="006D51F7">
        <w:rPr>
          <w:rFonts w:ascii="Century Gothic" w:eastAsia="Times New Roman" w:hAnsi="Century Gothic" w:cs="Arial"/>
          <w:sz w:val="20"/>
          <w:szCs w:val="20"/>
          <w:lang w:val="es-ES" w:eastAsia="es-ES"/>
        </w:rPr>
        <w:t>.</w:t>
      </w:r>
      <w:r w:rsidR="006F7123" w:rsidRPr="006D51F7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:rsidR="00864236" w:rsidRPr="003412C7" w:rsidRDefault="0065484E" w:rsidP="003412C7">
      <w:pPr>
        <w:tabs>
          <w:tab w:val="left" w:pos="6096"/>
        </w:tabs>
        <w:spacing w:after="0" w:line="240" w:lineRule="auto"/>
        <w:ind w:left="6096" w:hanging="1140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6D51F7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:rsidR="00446A40" w:rsidRPr="006D51F7" w:rsidRDefault="00446A40" w:rsidP="0032297E">
      <w:pPr>
        <w:tabs>
          <w:tab w:val="left" w:pos="5954"/>
        </w:tabs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32297E" w:rsidRPr="006D51F7" w:rsidRDefault="0032297E" w:rsidP="0032297E">
      <w:pPr>
        <w:keepNext/>
        <w:tabs>
          <w:tab w:val="left" w:pos="567"/>
          <w:tab w:val="left" w:pos="993"/>
          <w:tab w:val="left" w:pos="1134"/>
        </w:tabs>
        <w:spacing w:after="0" w:line="240" w:lineRule="auto"/>
        <w:jc w:val="both"/>
        <w:outlineLvl w:val="2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DE</w:t>
      </w: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:</w:t>
      </w: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="00285C13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XXXXX</w:t>
      </w:r>
    </w:p>
    <w:p w:rsidR="0032297E" w:rsidRPr="006D51F7" w:rsidRDefault="00042C2F" w:rsidP="0032297E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  </w:t>
      </w:r>
    </w:p>
    <w:p w:rsidR="0032297E" w:rsidRPr="006D51F7" w:rsidRDefault="0032297E" w:rsidP="0032297E">
      <w:pPr>
        <w:keepNext/>
        <w:tabs>
          <w:tab w:val="left" w:pos="567"/>
          <w:tab w:val="left" w:pos="1134"/>
        </w:tabs>
        <w:spacing w:after="0" w:line="240" w:lineRule="auto"/>
        <w:ind w:left="570" w:hanging="570"/>
        <w:jc w:val="both"/>
        <w:outlineLvl w:val="2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A</w:t>
      </w: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:</w:t>
      </w: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="00035B5D" w:rsidRPr="00035B5D">
        <w:rPr>
          <w:rFonts w:ascii="Century Gothic" w:eastAsia="Times New Roman" w:hAnsi="Century Gothic" w:cs="Arial"/>
          <w:b/>
          <w:sz w:val="20"/>
          <w:szCs w:val="20"/>
          <w:highlight w:val="yellow"/>
          <w:lang w:val="es-ES" w:eastAsia="es-ES"/>
        </w:rPr>
        <w:t>(mandante)</w:t>
      </w:r>
    </w:p>
    <w:p w:rsidR="000C0515" w:rsidRPr="006D51F7" w:rsidRDefault="0032297E" w:rsidP="004B1FAB">
      <w:pPr>
        <w:keepNext/>
        <w:tabs>
          <w:tab w:val="left" w:pos="567"/>
          <w:tab w:val="left" w:pos="1134"/>
        </w:tabs>
        <w:spacing w:after="0" w:line="240" w:lineRule="auto"/>
        <w:ind w:left="570" w:hanging="570"/>
        <w:jc w:val="both"/>
        <w:outlineLvl w:val="2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               </w:t>
      </w:r>
      <w:r w:rsidRPr="006D51F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           </w:t>
      </w:r>
      <w:r w:rsidRPr="006D51F7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6D51F7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</w:t>
      </w:r>
      <w:r w:rsidR="000C0515" w:rsidRPr="006D51F7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</w:t>
      </w:r>
    </w:p>
    <w:p w:rsidR="000E1707" w:rsidRDefault="00035B5D" w:rsidP="000E1707">
      <w:pPr>
        <w:pStyle w:val="paragraph"/>
        <w:spacing w:after="0"/>
        <w:jc w:val="both"/>
        <w:textAlignment w:val="baseline"/>
        <w:rPr>
          <w:rFonts w:ascii="Century Gothic" w:eastAsia="Calibri" w:hAnsi="Century Gothic"/>
          <w:sz w:val="20"/>
          <w:szCs w:val="22"/>
          <w:lang w:eastAsia="en-US"/>
        </w:rPr>
      </w:pPr>
      <w:r>
        <w:rPr>
          <w:rFonts w:ascii="Century Gothic" w:eastAsia="Calibri" w:hAnsi="Century Gothic"/>
          <w:sz w:val="20"/>
          <w:szCs w:val="22"/>
          <w:lang w:eastAsia="en-US"/>
        </w:rPr>
        <w:t xml:space="preserve">Con el objeto de mitigar </w:t>
      </w:r>
      <w:r w:rsidR="00285C13">
        <w:rPr>
          <w:rFonts w:ascii="Century Gothic" w:eastAsia="Calibri" w:hAnsi="Century Gothic"/>
          <w:sz w:val="20"/>
          <w:szCs w:val="22"/>
          <w:lang w:eastAsia="en-US"/>
        </w:rPr>
        <w:t xml:space="preserve">los </w:t>
      </w:r>
      <w:r>
        <w:rPr>
          <w:rFonts w:ascii="Century Gothic" w:eastAsia="Calibri" w:hAnsi="Century Gothic"/>
          <w:sz w:val="20"/>
          <w:szCs w:val="22"/>
          <w:lang w:eastAsia="en-US"/>
        </w:rPr>
        <w:t>efectos</w:t>
      </w:r>
      <w:r w:rsidR="00285C13">
        <w:rPr>
          <w:rFonts w:ascii="Century Gothic" w:eastAsia="Calibri" w:hAnsi="Century Gothic"/>
          <w:sz w:val="20"/>
          <w:szCs w:val="22"/>
          <w:lang w:eastAsia="en-US"/>
        </w:rPr>
        <w:t xml:space="preserve"> negativos</w:t>
      </w:r>
      <w:r w:rsidR="00285C13">
        <w:rPr>
          <w:rFonts w:ascii="Century Gothic" w:hAnsi="Century Gothic"/>
          <w:sz w:val="20"/>
        </w:rPr>
        <w:t xml:space="preserve"> sobre la ejecución de obras públicas provocados por la </w:t>
      </w:r>
      <w:r w:rsidR="00285C13" w:rsidRPr="003F50F6">
        <w:rPr>
          <w:rFonts w:ascii="Century Gothic" w:hAnsi="Century Gothic"/>
          <w:sz w:val="20"/>
        </w:rPr>
        <w:t>situación económica mundial</w:t>
      </w:r>
      <w:r w:rsidR="000E1707" w:rsidRPr="002D046E">
        <w:rPr>
          <w:rFonts w:ascii="Century Gothic" w:eastAsia="Calibri" w:hAnsi="Century Gothic"/>
          <w:sz w:val="20"/>
          <w:szCs w:val="22"/>
          <w:lang w:eastAsia="en-US"/>
        </w:rPr>
        <w:t xml:space="preserve">, el Ministerio de Obras Públicas ha elaborado un mecanismo 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 xml:space="preserve">excepcional </w:t>
      </w:r>
      <w:r w:rsidR="000E1707" w:rsidRPr="002D046E">
        <w:rPr>
          <w:rFonts w:ascii="Century Gothic" w:eastAsia="Calibri" w:hAnsi="Century Gothic"/>
          <w:sz w:val="20"/>
          <w:szCs w:val="22"/>
          <w:lang w:eastAsia="en-US"/>
        </w:rPr>
        <w:t>de reajustabilidad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 xml:space="preserve"> de 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>contrato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>s</w:t>
      </w:r>
      <w:r w:rsidR="000E1707" w:rsidRPr="002D046E">
        <w:rPr>
          <w:rFonts w:ascii="Century Gothic" w:eastAsia="Calibri" w:hAnsi="Century Gothic"/>
          <w:sz w:val="20"/>
          <w:szCs w:val="22"/>
          <w:lang w:eastAsia="en-US"/>
        </w:rPr>
        <w:t xml:space="preserve"> pa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 xml:space="preserve">ra un periodo 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 xml:space="preserve">y un porcentaje 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>determinado</w:t>
      </w:r>
      <w:r w:rsidR="000E1707" w:rsidRPr="002D046E">
        <w:rPr>
          <w:rFonts w:ascii="Century Gothic" w:eastAsia="Calibri" w:hAnsi="Century Gothic"/>
          <w:sz w:val="20"/>
          <w:szCs w:val="22"/>
          <w:lang w:eastAsia="en-US"/>
        </w:rPr>
        <w:t xml:space="preserve">, lo que ha quedado plasmado en el 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>a</w:t>
      </w:r>
      <w:r w:rsidR="000E1707" w:rsidRPr="002D046E">
        <w:rPr>
          <w:rFonts w:ascii="Century Gothic" w:eastAsia="Calibri" w:hAnsi="Century Gothic"/>
          <w:sz w:val="20"/>
          <w:szCs w:val="22"/>
          <w:lang w:eastAsia="en-US"/>
        </w:rPr>
        <w:t xml:space="preserve">rtículo 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 xml:space="preserve">14 Transitorio, aprobado por el Decreto Supremo </w:t>
      </w:r>
      <w:r w:rsidR="000E1707" w:rsidRPr="002D046E">
        <w:rPr>
          <w:rFonts w:ascii="Century Gothic" w:eastAsia="Calibri" w:hAnsi="Century Gothic"/>
          <w:sz w:val="20"/>
          <w:szCs w:val="22"/>
          <w:lang w:eastAsia="en-US"/>
        </w:rPr>
        <w:t>N°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 xml:space="preserve"> </w:t>
      </w:r>
      <w:r w:rsidR="000E1707" w:rsidRPr="002D046E">
        <w:rPr>
          <w:rFonts w:ascii="Century Gothic" w:eastAsia="Calibri" w:hAnsi="Century Gothic"/>
          <w:sz w:val="20"/>
          <w:szCs w:val="22"/>
          <w:lang w:eastAsia="en-US"/>
        </w:rPr>
        <w:t>177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>,</w:t>
      </w:r>
      <w:r w:rsidR="000E1707" w:rsidRPr="002D046E">
        <w:rPr>
          <w:rFonts w:ascii="Century Gothic" w:eastAsia="Calibri" w:hAnsi="Century Gothic"/>
          <w:sz w:val="20"/>
          <w:szCs w:val="22"/>
          <w:lang w:eastAsia="en-US"/>
        </w:rPr>
        <w:t xml:space="preserve"> </w:t>
      </w:r>
      <w:r w:rsidR="000E1707">
        <w:rPr>
          <w:rFonts w:ascii="Century Gothic" w:eastAsia="Calibri" w:hAnsi="Century Gothic"/>
          <w:sz w:val="20"/>
          <w:szCs w:val="22"/>
          <w:lang w:eastAsia="en-US"/>
        </w:rPr>
        <w:t xml:space="preserve">que 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 xml:space="preserve">se incorpora al </w:t>
      </w:r>
      <w:r w:rsidR="000E1707">
        <w:rPr>
          <w:rFonts w:ascii="Century Gothic" w:eastAsia="Calibri" w:hAnsi="Century Gothic"/>
          <w:sz w:val="20"/>
          <w:szCs w:val="22"/>
          <w:lang w:eastAsia="en-US"/>
        </w:rPr>
        <w:t>Decreto Supremo MOP N°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 xml:space="preserve"> </w:t>
      </w:r>
      <w:r w:rsidR="000E1707">
        <w:rPr>
          <w:rFonts w:ascii="Century Gothic" w:eastAsia="Calibri" w:hAnsi="Century Gothic"/>
          <w:sz w:val="20"/>
          <w:szCs w:val="22"/>
          <w:lang w:eastAsia="en-US"/>
        </w:rPr>
        <w:t>75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>,</w:t>
      </w:r>
      <w:r w:rsidR="000E1707">
        <w:rPr>
          <w:rFonts w:ascii="Century Gothic" w:eastAsia="Calibri" w:hAnsi="Century Gothic"/>
          <w:sz w:val="20"/>
          <w:szCs w:val="22"/>
          <w:lang w:eastAsia="en-US"/>
        </w:rPr>
        <w:t xml:space="preserve"> de 2004, 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>R</w:t>
      </w:r>
      <w:r w:rsidR="000E1707">
        <w:rPr>
          <w:rFonts w:ascii="Century Gothic" w:eastAsia="Calibri" w:hAnsi="Century Gothic"/>
          <w:sz w:val="20"/>
          <w:szCs w:val="22"/>
          <w:lang w:eastAsia="en-US"/>
        </w:rPr>
        <w:t>eglamento para Contratos de Obras Públicas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>,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 xml:space="preserve"> y que se remite para su conocimiento</w:t>
      </w:r>
      <w:r w:rsidR="00145E07">
        <w:rPr>
          <w:rFonts w:ascii="Century Gothic" w:eastAsia="Calibri" w:hAnsi="Century Gothic"/>
          <w:sz w:val="20"/>
          <w:szCs w:val="22"/>
          <w:lang w:eastAsia="en-US"/>
        </w:rPr>
        <w:t>.</w:t>
      </w:r>
    </w:p>
    <w:p w:rsidR="004862A2" w:rsidRDefault="004862A2" w:rsidP="007F18B2">
      <w:pPr>
        <w:pStyle w:val="paragraph"/>
        <w:spacing w:after="0"/>
        <w:jc w:val="both"/>
        <w:textAlignment w:val="baseline"/>
        <w:rPr>
          <w:rFonts w:ascii="Century Gothic" w:eastAsia="Calibri" w:hAnsi="Century Gothic"/>
          <w:sz w:val="20"/>
          <w:szCs w:val="22"/>
          <w:lang w:eastAsia="en-US"/>
        </w:rPr>
      </w:pPr>
      <w:r>
        <w:rPr>
          <w:rFonts w:ascii="Century Gothic" w:eastAsia="Calibri" w:hAnsi="Century Gothic"/>
          <w:sz w:val="20"/>
          <w:szCs w:val="22"/>
          <w:lang w:eastAsia="en-US"/>
        </w:rPr>
        <w:t xml:space="preserve">Al respecto, se determina 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>en dicho decreto que el mecanismo</w:t>
      </w:r>
      <w:r w:rsidR="009E2B14" w:rsidRPr="009E2B14">
        <w:rPr>
          <w:rFonts w:ascii="Century Gothic" w:eastAsia="Calibri" w:hAnsi="Century Gothic"/>
          <w:sz w:val="20"/>
          <w:szCs w:val="22"/>
          <w:lang w:eastAsia="en-US"/>
        </w:rPr>
        <w:t xml:space="preserve"> 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>se aplicará para los estados de pago desde el 1° de septiembre de 2021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 xml:space="preserve"> y </w:t>
      </w:r>
      <w:r w:rsidR="007F18B2" w:rsidRPr="007F18B2">
        <w:rPr>
          <w:rFonts w:ascii="Century Gothic" w:eastAsia="Calibri" w:hAnsi="Century Gothic"/>
          <w:sz w:val="20"/>
          <w:szCs w:val="22"/>
          <w:lang w:eastAsia="en-US"/>
        </w:rPr>
        <w:t>hasta que se cu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>rse el último estado de pago de obras del respectivo contrato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 xml:space="preserve">, estableciéndose de esta forma un reajuste que sería pagado </w:t>
      </w:r>
      <w:r w:rsidR="00145E07">
        <w:rPr>
          <w:rFonts w:ascii="Century Gothic" w:eastAsia="Calibri" w:hAnsi="Century Gothic"/>
          <w:sz w:val="20"/>
          <w:szCs w:val="22"/>
          <w:lang w:eastAsia="en-US"/>
        </w:rPr>
        <w:t xml:space="preserve">retroactivamente 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 xml:space="preserve">a los contratistas. </w:t>
      </w:r>
    </w:p>
    <w:p w:rsidR="000E1707" w:rsidRDefault="000E1707" w:rsidP="000E1707">
      <w:pPr>
        <w:pStyle w:val="paragraph"/>
        <w:spacing w:after="0"/>
        <w:jc w:val="both"/>
        <w:textAlignment w:val="baseline"/>
        <w:rPr>
          <w:rFonts w:ascii="Century Gothic" w:eastAsia="Calibri" w:hAnsi="Century Gothic"/>
          <w:sz w:val="20"/>
          <w:szCs w:val="22"/>
          <w:lang w:eastAsia="en-US"/>
        </w:rPr>
      </w:pPr>
      <w:r>
        <w:rPr>
          <w:rFonts w:ascii="Century Gothic" w:eastAsia="Calibri" w:hAnsi="Century Gothic"/>
          <w:sz w:val="20"/>
          <w:szCs w:val="22"/>
          <w:lang w:eastAsia="en-US"/>
        </w:rPr>
        <w:t>Esta Dirección mantiene xxx contr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 xml:space="preserve">atos vigentes, los cuales han sido mandatos a esta Dirección a través del correspondiente convenio, </w:t>
      </w:r>
      <w:r>
        <w:rPr>
          <w:rFonts w:ascii="Century Gothic" w:eastAsia="Calibri" w:hAnsi="Century Gothic"/>
          <w:sz w:val="20"/>
          <w:szCs w:val="22"/>
          <w:lang w:eastAsia="en-US"/>
        </w:rPr>
        <w:t xml:space="preserve">a los cuales les 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>resultaría</w:t>
      </w:r>
      <w:r>
        <w:rPr>
          <w:rFonts w:ascii="Century Gothic" w:eastAsia="Calibri" w:hAnsi="Century Gothic"/>
          <w:sz w:val="20"/>
          <w:szCs w:val="22"/>
          <w:lang w:eastAsia="en-US"/>
        </w:rPr>
        <w:t xml:space="preserve"> aplicable el 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 xml:space="preserve">mecanismo de 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>reajuste antes referido. E</w:t>
      </w:r>
      <w:r>
        <w:rPr>
          <w:rFonts w:ascii="Century Gothic" w:eastAsia="Calibri" w:hAnsi="Century Gothic"/>
          <w:sz w:val="20"/>
          <w:szCs w:val="22"/>
          <w:lang w:eastAsia="en-US"/>
        </w:rPr>
        <w:t>n la siguiente tabla se mencionan los contratos y los montos estimados que se requerirán p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>ara realizar el ajuste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 xml:space="preserve"> retroactivo</w:t>
      </w:r>
      <w:r w:rsidR="004862A2">
        <w:rPr>
          <w:rFonts w:ascii="Century Gothic" w:eastAsia="Calibri" w:hAnsi="Century Gothic"/>
          <w:sz w:val="20"/>
          <w:szCs w:val="22"/>
          <w:lang w:eastAsia="en-US"/>
        </w:rPr>
        <w:t>, a saber: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54"/>
        <w:gridCol w:w="2524"/>
      </w:tblGrid>
      <w:tr w:rsidR="00285C13" w:rsidRPr="001B6205" w:rsidTr="007E30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13" w:rsidRPr="001B6205" w:rsidRDefault="00285C13" w:rsidP="007E30E8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MX"/>
              </w:rPr>
            </w:pPr>
            <w:r w:rsidRPr="001B6205">
              <w:rPr>
                <w:sz w:val="16"/>
                <w:szCs w:val="16"/>
                <w:lang w:val="es-MX"/>
              </w:rPr>
              <w:t xml:space="preserve">NOMBRE DEL </w:t>
            </w:r>
            <w:r w:rsidR="007E30E8">
              <w:rPr>
                <w:sz w:val="16"/>
                <w:szCs w:val="16"/>
                <w:lang w:val="es-MX"/>
              </w:rPr>
              <w:t>CONTRATO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13" w:rsidRPr="001B6205" w:rsidRDefault="00285C13" w:rsidP="00285C1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MX"/>
              </w:rPr>
            </w:pPr>
            <w:r w:rsidRPr="001B6205">
              <w:rPr>
                <w:sz w:val="16"/>
                <w:szCs w:val="16"/>
                <w:lang w:val="es-MX"/>
              </w:rPr>
              <w:t xml:space="preserve">MONTO </w:t>
            </w:r>
            <w:r w:rsidR="007E30E8">
              <w:rPr>
                <w:sz w:val="16"/>
                <w:szCs w:val="16"/>
                <w:lang w:val="es-MX"/>
              </w:rPr>
              <w:t xml:space="preserve">ADJUDICADO </w:t>
            </w:r>
            <w:r w:rsidRPr="001B6205">
              <w:rPr>
                <w:sz w:val="16"/>
                <w:szCs w:val="16"/>
                <w:lang w:val="es-MX"/>
              </w:rPr>
              <w:t>DE</w:t>
            </w:r>
            <w:r w:rsidR="007E30E8">
              <w:rPr>
                <w:sz w:val="16"/>
                <w:szCs w:val="16"/>
                <w:lang w:val="es-MX"/>
              </w:rPr>
              <w:t>L</w:t>
            </w:r>
            <w:r w:rsidRPr="001B6205">
              <w:rPr>
                <w:sz w:val="16"/>
                <w:szCs w:val="16"/>
                <w:lang w:val="es-MX"/>
              </w:rPr>
              <w:t xml:space="preserve"> CONTRATO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13" w:rsidRPr="001B6205" w:rsidRDefault="00285C13" w:rsidP="00285C1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MONTO MÁXIMO APLICACIÓN REAJUSTE DS177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13" w:rsidRDefault="00285C13" w:rsidP="00285C1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MONTO POR REAJUSTE EN ESTADO DE PAGO CURSADOS A LA FECHA</w:t>
            </w:r>
          </w:p>
        </w:tc>
      </w:tr>
      <w:tr w:rsidR="00285C13" w:rsidRPr="001B6205" w:rsidTr="007E30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13" w:rsidRPr="001B6205" w:rsidRDefault="00285C13" w:rsidP="001B6205">
            <w:pPr>
              <w:pStyle w:val="Prrafodelista"/>
              <w:spacing w:after="0" w:line="240" w:lineRule="auto"/>
              <w:ind w:left="0"/>
              <w:jc w:val="both"/>
              <w:rPr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13" w:rsidRPr="001B6205" w:rsidRDefault="00285C13" w:rsidP="001B6205">
            <w:pPr>
              <w:pStyle w:val="Prrafodelista"/>
              <w:spacing w:after="0" w:line="240" w:lineRule="auto"/>
              <w:ind w:left="0"/>
              <w:jc w:val="both"/>
              <w:rPr>
                <w:lang w:val="es-MX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13" w:rsidRPr="001B6205" w:rsidRDefault="00285C13" w:rsidP="001B6205">
            <w:pPr>
              <w:pStyle w:val="Prrafodelista"/>
              <w:spacing w:after="0" w:line="240" w:lineRule="auto"/>
              <w:ind w:left="0"/>
              <w:jc w:val="both"/>
              <w:rPr>
                <w:lang w:val="es-MX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13" w:rsidRPr="001B6205" w:rsidRDefault="00285C13" w:rsidP="001B6205">
            <w:pPr>
              <w:pStyle w:val="Prrafodelista"/>
              <w:spacing w:after="0" w:line="240" w:lineRule="auto"/>
              <w:ind w:left="0"/>
              <w:jc w:val="both"/>
              <w:rPr>
                <w:lang w:val="es-MX"/>
              </w:rPr>
            </w:pPr>
          </w:p>
        </w:tc>
      </w:tr>
    </w:tbl>
    <w:p w:rsidR="000E1707" w:rsidRDefault="000E1707" w:rsidP="000E1707">
      <w:pPr>
        <w:pStyle w:val="paragraph"/>
        <w:spacing w:after="0"/>
        <w:jc w:val="both"/>
        <w:textAlignment w:val="baseline"/>
        <w:rPr>
          <w:rFonts w:ascii="Century Gothic" w:eastAsia="Calibri" w:hAnsi="Century Gothic"/>
          <w:sz w:val="20"/>
          <w:szCs w:val="22"/>
          <w:lang w:eastAsia="en-US"/>
        </w:rPr>
      </w:pPr>
      <w:r>
        <w:rPr>
          <w:rFonts w:ascii="Century Gothic" w:eastAsia="Calibri" w:hAnsi="Century Gothic"/>
          <w:sz w:val="20"/>
          <w:szCs w:val="22"/>
          <w:lang w:eastAsia="en-US"/>
        </w:rPr>
        <w:t xml:space="preserve">Cabe señalar que el 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 xml:space="preserve">enunciado artículo </w:t>
      </w:r>
      <w:r>
        <w:rPr>
          <w:rFonts w:ascii="Century Gothic" w:eastAsia="Calibri" w:hAnsi="Century Gothic"/>
          <w:sz w:val="20"/>
          <w:szCs w:val="22"/>
          <w:lang w:eastAsia="en-US"/>
        </w:rPr>
        <w:t xml:space="preserve">establece un límite que se ha definido hasta un 20% del valor adjudicado, luego de lo cual el contrato continuará 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>sin reajuste</w:t>
      </w:r>
      <w:r>
        <w:rPr>
          <w:rFonts w:ascii="Century Gothic" w:eastAsia="Calibri" w:hAnsi="Century Gothic"/>
          <w:sz w:val="20"/>
          <w:szCs w:val="22"/>
          <w:lang w:eastAsia="en-US"/>
        </w:rPr>
        <w:t>.</w:t>
      </w:r>
    </w:p>
    <w:p w:rsidR="000E1707" w:rsidRDefault="000E1707" w:rsidP="000E1707">
      <w:pPr>
        <w:pStyle w:val="paragraph"/>
        <w:spacing w:after="0"/>
        <w:jc w:val="both"/>
        <w:textAlignment w:val="baseline"/>
        <w:rPr>
          <w:rFonts w:ascii="Century Gothic" w:eastAsia="Calibri" w:hAnsi="Century Gothic"/>
          <w:sz w:val="20"/>
          <w:szCs w:val="22"/>
          <w:lang w:eastAsia="en-US"/>
        </w:rPr>
      </w:pPr>
      <w:r>
        <w:rPr>
          <w:rFonts w:ascii="Century Gothic" w:eastAsia="Calibri" w:hAnsi="Century Gothic"/>
          <w:sz w:val="20"/>
          <w:szCs w:val="22"/>
          <w:lang w:eastAsia="en-US"/>
        </w:rPr>
        <w:t>En este sentido, es que solicito a usted, en su condición de mandante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 xml:space="preserve"> de los contratos aludidos</w:t>
      </w:r>
      <w:r>
        <w:rPr>
          <w:rFonts w:ascii="Century Gothic" w:eastAsia="Calibri" w:hAnsi="Century Gothic"/>
          <w:sz w:val="20"/>
          <w:szCs w:val="22"/>
          <w:lang w:eastAsia="en-US"/>
        </w:rPr>
        <w:t xml:space="preserve"> y responsable financiero de la iniciativa</w:t>
      </w:r>
      <w:r w:rsidR="009E2B14">
        <w:rPr>
          <w:rFonts w:ascii="Century Gothic" w:eastAsia="Calibri" w:hAnsi="Century Gothic"/>
          <w:sz w:val="20"/>
          <w:szCs w:val="22"/>
          <w:lang w:eastAsia="en-US"/>
        </w:rPr>
        <w:t xml:space="preserve"> </w:t>
      </w:r>
      <w:r>
        <w:rPr>
          <w:rFonts w:ascii="Century Gothic" w:eastAsia="Calibri" w:hAnsi="Century Gothic"/>
          <w:sz w:val="20"/>
          <w:szCs w:val="22"/>
          <w:lang w:eastAsia="en-US"/>
        </w:rPr>
        <w:t>su aprobación para la aplicación de este mecanismo.</w:t>
      </w:r>
    </w:p>
    <w:p w:rsidR="000E1707" w:rsidRDefault="000E1707" w:rsidP="000E1707">
      <w:pPr>
        <w:pStyle w:val="paragraph"/>
        <w:spacing w:after="0"/>
        <w:jc w:val="both"/>
        <w:textAlignment w:val="baseline"/>
        <w:rPr>
          <w:rFonts w:ascii="Century Gothic" w:eastAsia="Calibri" w:hAnsi="Century Gothic"/>
          <w:sz w:val="20"/>
          <w:szCs w:val="22"/>
          <w:lang w:eastAsia="en-US"/>
        </w:rPr>
      </w:pPr>
      <w:r>
        <w:rPr>
          <w:rFonts w:ascii="Century Gothic" w:eastAsia="Calibri" w:hAnsi="Century Gothic"/>
          <w:sz w:val="20"/>
          <w:szCs w:val="22"/>
          <w:lang w:eastAsia="en-US"/>
        </w:rPr>
        <w:t>En caso que sea aprobado se deberán gestionar ante la Dirección de Presupuestos del Ministerio de Hacienda los recursos asociados para cada iniciativa, a objeto que se pueda dar curso al pago del reajuste correspondiente.</w:t>
      </w:r>
    </w:p>
    <w:p w:rsidR="007E30E8" w:rsidRDefault="000E1707" w:rsidP="007E30E8">
      <w:pPr>
        <w:pStyle w:val="paragraph"/>
        <w:spacing w:after="0"/>
        <w:jc w:val="both"/>
        <w:textAlignment w:val="baseline"/>
        <w:rPr>
          <w:rFonts w:ascii="Century Gothic" w:eastAsia="Calibri" w:hAnsi="Century Gothic"/>
          <w:sz w:val="20"/>
          <w:szCs w:val="22"/>
          <w:lang w:eastAsia="en-US"/>
        </w:rPr>
      </w:pPr>
      <w:r>
        <w:rPr>
          <w:rFonts w:ascii="Century Gothic" w:eastAsia="Calibri" w:hAnsi="Century Gothic"/>
          <w:sz w:val="20"/>
          <w:szCs w:val="22"/>
          <w:lang w:eastAsia="en-US"/>
        </w:rPr>
        <w:t xml:space="preserve">Finalmente, y esperando una buena acogida de la medida planteada, </w:t>
      </w:r>
      <w:r w:rsidR="007F18B2">
        <w:rPr>
          <w:rFonts w:ascii="Century Gothic" w:eastAsia="Calibri" w:hAnsi="Century Gothic"/>
          <w:sz w:val="20"/>
          <w:szCs w:val="22"/>
          <w:lang w:eastAsia="en-US"/>
        </w:rPr>
        <w:t>se adjunta oficio de respuesta tipo,</w:t>
      </w:r>
      <w:r>
        <w:rPr>
          <w:rFonts w:ascii="Century Gothic" w:eastAsia="Calibri" w:hAnsi="Century Gothic"/>
          <w:sz w:val="20"/>
          <w:szCs w:val="22"/>
          <w:lang w:eastAsia="en-US"/>
        </w:rPr>
        <w:t xml:space="preserve"> a modo de facilitar la gestión asociada a la aplicación de este </w:t>
      </w:r>
      <w:r w:rsidR="00145E07">
        <w:rPr>
          <w:rFonts w:ascii="Century Gothic" w:eastAsia="Calibri" w:hAnsi="Century Gothic"/>
          <w:sz w:val="20"/>
          <w:szCs w:val="22"/>
          <w:lang w:eastAsia="en-US"/>
        </w:rPr>
        <w:t>mecanismo de reajuste transitorio. A</w:t>
      </w:r>
      <w:r w:rsidR="00A43ADC">
        <w:rPr>
          <w:rFonts w:ascii="Century Gothic" w:eastAsia="Calibri" w:hAnsi="Century Gothic"/>
          <w:sz w:val="20"/>
          <w:szCs w:val="22"/>
          <w:lang w:eastAsia="en-US"/>
        </w:rPr>
        <w:t>nte cualquier duda o</w:t>
      </w:r>
      <w:r w:rsidR="00A87AE5">
        <w:rPr>
          <w:rFonts w:ascii="Century Gothic" w:eastAsia="Calibri" w:hAnsi="Century Gothic"/>
          <w:sz w:val="20"/>
          <w:szCs w:val="22"/>
          <w:lang w:eastAsia="en-US"/>
        </w:rPr>
        <w:t xml:space="preserve"> consulta, agradeceré </w:t>
      </w:r>
      <w:r w:rsidR="00285C13">
        <w:rPr>
          <w:rFonts w:ascii="Century Gothic" w:eastAsia="Calibri" w:hAnsi="Century Gothic"/>
          <w:sz w:val="20"/>
          <w:szCs w:val="22"/>
          <w:lang w:eastAsia="en-US"/>
        </w:rPr>
        <w:t>comunicarse con….</w:t>
      </w:r>
      <w:r w:rsidR="00A43ADC">
        <w:rPr>
          <w:rFonts w:ascii="Century Gothic" w:eastAsia="Calibri" w:hAnsi="Century Gothic"/>
          <w:sz w:val="20"/>
          <w:szCs w:val="22"/>
          <w:lang w:eastAsia="en-US"/>
        </w:rPr>
        <w:t>.</w:t>
      </w:r>
    </w:p>
    <w:p w:rsidR="006D51F7" w:rsidRPr="006D51F7" w:rsidRDefault="000E1707" w:rsidP="007E30E8">
      <w:pPr>
        <w:pStyle w:val="paragraph"/>
        <w:spacing w:after="0"/>
        <w:jc w:val="both"/>
        <w:textAlignment w:val="baseline"/>
        <w:rPr>
          <w:rFonts w:ascii="Century Gothic" w:eastAsia="Arial Unicode MS" w:hAnsi="Century Gothic" w:cs="Arial Unicode MS"/>
          <w:bCs/>
          <w:sz w:val="20"/>
        </w:rPr>
      </w:pPr>
      <w:r w:rsidRPr="006D51F7">
        <w:rPr>
          <w:rFonts w:ascii="Century Gothic" w:eastAsia="Arial Unicode MS" w:hAnsi="Century Gothic" w:cs="Arial Unicode MS"/>
          <w:bCs/>
          <w:sz w:val="20"/>
        </w:rPr>
        <w:t>Saluda atentamente a Ud.</w:t>
      </w:r>
      <w:r>
        <w:rPr>
          <w:rFonts w:ascii="Century Gothic" w:eastAsia="Arial Unicode MS" w:hAnsi="Century Gothic" w:cs="Arial Unicode MS"/>
          <w:bCs/>
          <w:sz w:val="20"/>
        </w:rPr>
        <w:t>,</w:t>
      </w:r>
    </w:p>
    <w:sectPr w:rsidR="006D51F7" w:rsidRPr="006D51F7" w:rsidSect="007E30E8">
      <w:headerReference w:type="default" r:id="rId8"/>
      <w:pgSz w:w="12240" w:h="18720" w:code="14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8E" w:rsidRDefault="0023438E" w:rsidP="00AB6D59">
      <w:pPr>
        <w:spacing w:after="0" w:line="240" w:lineRule="auto"/>
      </w:pPr>
      <w:r>
        <w:separator/>
      </w:r>
    </w:p>
  </w:endnote>
  <w:endnote w:type="continuationSeparator" w:id="0">
    <w:p w:rsidR="0023438E" w:rsidRDefault="0023438E" w:rsidP="00AB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8E" w:rsidRDefault="0023438E" w:rsidP="00AB6D59">
      <w:pPr>
        <w:spacing w:after="0" w:line="240" w:lineRule="auto"/>
      </w:pPr>
      <w:r>
        <w:separator/>
      </w:r>
    </w:p>
  </w:footnote>
  <w:footnote w:type="continuationSeparator" w:id="0">
    <w:p w:rsidR="0023438E" w:rsidRDefault="0023438E" w:rsidP="00AB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23" w:rsidRDefault="00A10F23">
    <w:pPr>
      <w:pStyle w:val="Encabezado"/>
      <w:rPr>
        <w:lang w:val="es-ES"/>
      </w:rPr>
    </w:pPr>
  </w:p>
  <w:p w:rsidR="00A10F23" w:rsidRPr="00A10F23" w:rsidRDefault="00A10F2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394"/>
    <w:multiLevelType w:val="hybridMultilevel"/>
    <w:tmpl w:val="440047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7570"/>
    <w:multiLevelType w:val="singleLevel"/>
    <w:tmpl w:val="1BCE1F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416831"/>
    <w:multiLevelType w:val="hybridMultilevel"/>
    <w:tmpl w:val="53569D88"/>
    <w:lvl w:ilvl="0" w:tplc="6BB228D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D54D94"/>
    <w:multiLevelType w:val="hybridMultilevel"/>
    <w:tmpl w:val="2D7A2C10"/>
    <w:lvl w:ilvl="0" w:tplc="3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94F7235"/>
    <w:multiLevelType w:val="hybridMultilevel"/>
    <w:tmpl w:val="C32ADB70"/>
    <w:lvl w:ilvl="0" w:tplc="AA840A3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08E0"/>
    <w:multiLevelType w:val="hybridMultilevel"/>
    <w:tmpl w:val="C3B8EA60"/>
    <w:lvl w:ilvl="0" w:tplc="D040D452">
      <w:numFmt w:val="bullet"/>
      <w:lvlText w:val="-"/>
      <w:lvlJc w:val="left"/>
      <w:pPr>
        <w:ind w:left="5316" w:hanging="360"/>
      </w:pPr>
      <w:rPr>
        <w:rFonts w:ascii="Century Gothic" w:eastAsia="Times New Roman" w:hAnsi="Century Gothic" w:cs="Arial" w:hint="default"/>
      </w:rPr>
    </w:lvl>
    <w:lvl w:ilvl="1" w:tplc="34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>
    <w:nsid w:val="3A8D7365"/>
    <w:multiLevelType w:val="hybridMultilevel"/>
    <w:tmpl w:val="4316F3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C38F3"/>
    <w:multiLevelType w:val="hybridMultilevel"/>
    <w:tmpl w:val="ECAC3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91950"/>
    <w:multiLevelType w:val="hybridMultilevel"/>
    <w:tmpl w:val="8326C88C"/>
    <w:lvl w:ilvl="0" w:tplc="DC9CFAA8">
      <w:numFmt w:val="bullet"/>
      <w:lvlText w:val="-"/>
      <w:lvlJc w:val="left"/>
      <w:pPr>
        <w:ind w:left="6171" w:hanging="360"/>
      </w:pPr>
      <w:rPr>
        <w:rFonts w:ascii="Century Gothic" w:eastAsia="Times New Roman" w:hAnsi="Century Gothic" w:cs="Arial" w:hint="default"/>
      </w:rPr>
    </w:lvl>
    <w:lvl w:ilvl="1" w:tplc="34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7E"/>
    <w:rsid w:val="00000AD7"/>
    <w:rsid w:val="00001628"/>
    <w:rsid w:val="000017A9"/>
    <w:rsid w:val="00002B4B"/>
    <w:rsid w:val="00005000"/>
    <w:rsid w:val="00006436"/>
    <w:rsid w:val="000118C3"/>
    <w:rsid w:val="00035B5D"/>
    <w:rsid w:val="0003716B"/>
    <w:rsid w:val="00042C2F"/>
    <w:rsid w:val="000523E0"/>
    <w:rsid w:val="00063F71"/>
    <w:rsid w:val="00071AD7"/>
    <w:rsid w:val="0007210F"/>
    <w:rsid w:val="0007679E"/>
    <w:rsid w:val="00076983"/>
    <w:rsid w:val="00092573"/>
    <w:rsid w:val="00092A3E"/>
    <w:rsid w:val="000A38D2"/>
    <w:rsid w:val="000C0515"/>
    <w:rsid w:val="000D541C"/>
    <w:rsid w:val="000D62E1"/>
    <w:rsid w:val="000E0BCD"/>
    <w:rsid w:val="000E1707"/>
    <w:rsid w:val="000E3F45"/>
    <w:rsid w:val="000E4955"/>
    <w:rsid w:val="00114784"/>
    <w:rsid w:val="0011752C"/>
    <w:rsid w:val="00123ED9"/>
    <w:rsid w:val="00130AE8"/>
    <w:rsid w:val="001354E8"/>
    <w:rsid w:val="00141020"/>
    <w:rsid w:val="00145E07"/>
    <w:rsid w:val="00147BF8"/>
    <w:rsid w:val="00154CD9"/>
    <w:rsid w:val="00154CE1"/>
    <w:rsid w:val="001609D7"/>
    <w:rsid w:val="00174149"/>
    <w:rsid w:val="00187EEB"/>
    <w:rsid w:val="001A7734"/>
    <w:rsid w:val="001B01AC"/>
    <w:rsid w:val="001B075A"/>
    <w:rsid w:val="001B6205"/>
    <w:rsid w:val="001C3988"/>
    <w:rsid w:val="001C5D87"/>
    <w:rsid w:val="001D2B14"/>
    <w:rsid w:val="001D6910"/>
    <w:rsid w:val="001E02A3"/>
    <w:rsid w:val="001F2200"/>
    <w:rsid w:val="00202BA5"/>
    <w:rsid w:val="00214441"/>
    <w:rsid w:val="00231C81"/>
    <w:rsid w:val="0023438E"/>
    <w:rsid w:val="002366F9"/>
    <w:rsid w:val="002479F4"/>
    <w:rsid w:val="002521B1"/>
    <w:rsid w:val="0026311E"/>
    <w:rsid w:val="002776C9"/>
    <w:rsid w:val="00285C13"/>
    <w:rsid w:val="002A2D7C"/>
    <w:rsid w:val="002A5020"/>
    <w:rsid w:val="002C7CBE"/>
    <w:rsid w:val="002E3751"/>
    <w:rsid w:val="00310266"/>
    <w:rsid w:val="0032297E"/>
    <w:rsid w:val="0032565F"/>
    <w:rsid w:val="0033497E"/>
    <w:rsid w:val="003400CC"/>
    <w:rsid w:val="003412C7"/>
    <w:rsid w:val="00347380"/>
    <w:rsid w:val="00347A95"/>
    <w:rsid w:val="00351D4C"/>
    <w:rsid w:val="003578E2"/>
    <w:rsid w:val="0037059C"/>
    <w:rsid w:val="003769A1"/>
    <w:rsid w:val="003809A7"/>
    <w:rsid w:val="003836A4"/>
    <w:rsid w:val="00392DF9"/>
    <w:rsid w:val="003A210C"/>
    <w:rsid w:val="003D3D37"/>
    <w:rsid w:val="003E51BE"/>
    <w:rsid w:val="003F3800"/>
    <w:rsid w:val="004050A3"/>
    <w:rsid w:val="00407D53"/>
    <w:rsid w:val="0041150B"/>
    <w:rsid w:val="0042120A"/>
    <w:rsid w:val="00442CA3"/>
    <w:rsid w:val="00446A40"/>
    <w:rsid w:val="00460336"/>
    <w:rsid w:val="004622D5"/>
    <w:rsid w:val="004648DE"/>
    <w:rsid w:val="004701F3"/>
    <w:rsid w:val="00474504"/>
    <w:rsid w:val="00474CA4"/>
    <w:rsid w:val="004811C8"/>
    <w:rsid w:val="00483F7D"/>
    <w:rsid w:val="004862A2"/>
    <w:rsid w:val="00496DED"/>
    <w:rsid w:val="004A20CE"/>
    <w:rsid w:val="004A7ACD"/>
    <w:rsid w:val="004B1FAB"/>
    <w:rsid w:val="004D012A"/>
    <w:rsid w:val="004D2076"/>
    <w:rsid w:val="004E1A23"/>
    <w:rsid w:val="004E2FD2"/>
    <w:rsid w:val="004E5117"/>
    <w:rsid w:val="004F1883"/>
    <w:rsid w:val="004F6495"/>
    <w:rsid w:val="00512D15"/>
    <w:rsid w:val="00560BFC"/>
    <w:rsid w:val="00565C15"/>
    <w:rsid w:val="00576375"/>
    <w:rsid w:val="005852B4"/>
    <w:rsid w:val="005A0DC9"/>
    <w:rsid w:val="005A1334"/>
    <w:rsid w:val="005B0BA7"/>
    <w:rsid w:val="005B24D3"/>
    <w:rsid w:val="005D619C"/>
    <w:rsid w:val="005D6601"/>
    <w:rsid w:val="005E0AC7"/>
    <w:rsid w:val="005E7CCF"/>
    <w:rsid w:val="005F5338"/>
    <w:rsid w:val="005F7F7D"/>
    <w:rsid w:val="0061620F"/>
    <w:rsid w:val="006376C2"/>
    <w:rsid w:val="00637FD9"/>
    <w:rsid w:val="00644629"/>
    <w:rsid w:val="00645A3D"/>
    <w:rsid w:val="00651130"/>
    <w:rsid w:val="00652E42"/>
    <w:rsid w:val="0065484E"/>
    <w:rsid w:val="00673A89"/>
    <w:rsid w:val="00685818"/>
    <w:rsid w:val="00686EE0"/>
    <w:rsid w:val="00693E55"/>
    <w:rsid w:val="00697717"/>
    <w:rsid w:val="006A284E"/>
    <w:rsid w:val="006B17B2"/>
    <w:rsid w:val="006C2370"/>
    <w:rsid w:val="006D4E7F"/>
    <w:rsid w:val="006D51F7"/>
    <w:rsid w:val="006F02BA"/>
    <w:rsid w:val="006F68AA"/>
    <w:rsid w:val="006F7123"/>
    <w:rsid w:val="00710D33"/>
    <w:rsid w:val="00713697"/>
    <w:rsid w:val="007314A9"/>
    <w:rsid w:val="00734223"/>
    <w:rsid w:val="00741B7B"/>
    <w:rsid w:val="00755197"/>
    <w:rsid w:val="007600C0"/>
    <w:rsid w:val="00770191"/>
    <w:rsid w:val="007725A3"/>
    <w:rsid w:val="00773C61"/>
    <w:rsid w:val="00782FDA"/>
    <w:rsid w:val="00786CAF"/>
    <w:rsid w:val="0079288C"/>
    <w:rsid w:val="00792E25"/>
    <w:rsid w:val="007A0777"/>
    <w:rsid w:val="007A19A1"/>
    <w:rsid w:val="007A4E75"/>
    <w:rsid w:val="007B4226"/>
    <w:rsid w:val="007B7F4F"/>
    <w:rsid w:val="007C2CF1"/>
    <w:rsid w:val="007D1FBC"/>
    <w:rsid w:val="007D6643"/>
    <w:rsid w:val="007D7043"/>
    <w:rsid w:val="007E30E8"/>
    <w:rsid w:val="007E4341"/>
    <w:rsid w:val="007F18B2"/>
    <w:rsid w:val="008002FC"/>
    <w:rsid w:val="00826662"/>
    <w:rsid w:val="00827959"/>
    <w:rsid w:val="00830704"/>
    <w:rsid w:val="00830BD5"/>
    <w:rsid w:val="00832C66"/>
    <w:rsid w:val="0084268D"/>
    <w:rsid w:val="00845868"/>
    <w:rsid w:val="00850426"/>
    <w:rsid w:val="00850D4B"/>
    <w:rsid w:val="0085209D"/>
    <w:rsid w:val="00857FF4"/>
    <w:rsid w:val="00860D34"/>
    <w:rsid w:val="008616E0"/>
    <w:rsid w:val="00864236"/>
    <w:rsid w:val="0088612B"/>
    <w:rsid w:val="00887F39"/>
    <w:rsid w:val="008A4496"/>
    <w:rsid w:val="008C0C37"/>
    <w:rsid w:val="008C4578"/>
    <w:rsid w:val="008D45A5"/>
    <w:rsid w:val="008E3239"/>
    <w:rsid w:val="008E7B6C"/>
    <w:rsid w:val="008F4849"/>
    <w:rsid w:val="008F645D"/>
    <w:rsid w:val="009125EC"/>
    <w:rsid w:val="00920246"/>
    <w:rsid w:val="009226FF"/>
    <w:rsid w:val="00923DC9"/>
    <w:rsid w:val="00940E26"/>
    <w:rsid w:val="00944381"/>
    <w:rsid w:val="009540A9"/>
    <w:rsid w:val="00960A9D"/>
    <w:rsid w:val="00962EAD"/>
    <w:rsid w:val="00972942"/>
    <w:rsid w:val="00983AC7"/>
    <w:rsid w:val="00985096"/>
    <w:rsid w:val="009B2763"/>
    <w:rsid w:val="009B34EF"/>
    <w:rsid w:val="009B774A"/>
    <w:rsid w:val="009E2B14"/>
    <w:rsid w:val="00A005BD"/>
    <w:rsid w:val="00A00E30"/>
    <w:rsid w:val="00A10CF6"/>
    <w:rsid w:val="00A10F23"/>
    <w:rsid w:val="00A22E2B"/>
    <w:rsid w:val="00A2395D"/>
    <w:rsid w:val="00A43ADC"/>
    <w:rsid w:val="00A466BE"/>
    <w:rsid w:val="00A515E4"/>
    <w:rsid w:val="00A54552"/>
    <w:rsid w:val="00A75FE6"/>
    <w:rsid w:val="00A76242"/>
    <w:rsid w:val="00A76D21"/>
    <w:rsid w:val="00A87AE5"/>
    <w:rsid w:val="00A920F6"/>
    <w:rsid w:val="00A955DD"/>
    <w:rsid w:val="00AA1D20"/>
    <w:rsid w:val="00AA2C26"/>
    <w:rsid w:val="00AB6D59"/>
    <w:rsid w:val="00AC07F8"/>
    <w:rsid w:val="00AD129E"/>
    <w:rsid w:val="00AD5506"/>
    <w:rsid w:val="00AF5D90"/>
    <w:rsid w:val="00B062CF"/>
    <w:rsid w:val="00B10841"/>
    <w:rsid w:val="00B3196D"/>
    <w:rsid w:val="00B41A92"/>
    <w:rsid w:val="00B45987"/>
    <w:rsid w:val="00B50628"/>
    <w:rsid w:val="00B54113"/>
    <w:rsid w:val="00B95779"/>
    <w:rsid w:val="00BA02F5"/>
    <w:rsid w:val="00BB3F4F"/>
    <w:rsid w:val="00BB483E"/>
    <w:rsid w:val="00BC623E"/>
    <w:rsid w:val="00C00B4E"/>
    <w:rsid w:val="00C1182A"/>
    <w:rsid w:val="00C13822"/>
    <w:rsid w:val="00C15D55"/>
    <w:rsid w:val="00C2488F"/>
    <w:rsid w:val="00C35F2C"/>
    <w:rsid w:val="00C46957"/>
    <w:rsid w:val="00C617F8"/>
    <w:rsid w:val="00C6388F"/>
    <w:rsid w:val="00C73CE3"/>
    <w:rsid w:val="00C748F8"/>
    <w:rsid w:val="00C859DE"/>
    <w:rsid w:val="00CA705E"/>
    <w:rsid w:val="00CA74F5"/>
    <w:rsid w:val="00CB2AAE"/>
    <w:rsid w:val="00CE66FB"/>
    <w:rsid w:val="00CF5120"/>
    <w:rsid w:val="00D07CEF"/>
    <w:rsid w:val="00D13C76"/>
    <w:rsid w:val="00D13DFE"/>
    <w:rsid w:val="00D171A1"/>
    <w:rsid w:val="00D40D7F"/>
    <w:rsid w:val="00D51074"/>
    <w:rsid w:val="00D55F61"/>
    <w:rsid w:val="00D62AE2"/>
    <w:rsid w:val="00D732C1"/>
    <w:rsid w:val="00D84588"/>
    <w:rsid w:val="00D85263"/>
    <w:rsid w:val="00D863A4"/>
    <w:rsid w:val="00DA431F"/>
    <w:rsid w:val="00DB6D16"/>
    <w:rsid w:val="00DD109C"/>
    <w:rsid w:val="00DE12C4"/>
    <w:rsid w:val="00DE1E33"/>
    <w:rsid w:val="00DF4892"/>
    <w:rsid w:val="00E25328"/>
    <w:rsid w:val="00E320C3"/>
    <w:rsid w:val="00E36429"/>
    <w:rsid w:val="00E7431E"/>
    <w:rsid w:val="00E745C1"/>
    <w:rsid w:val="00E777D1"/>
    <w:rsid w:val="00E82641"/>
    <w:rsid w:val="00EA62EF"/>
    <w:rsid w:val="00EA6E96"/>
    <w:rsid w:val="00EB096F"/>
    <w:rsid w:val="00EB33EA"/>
    <w:rsid w:val="00EC1553"/>
    <w:rsid w:val="00EC374F"/>
    <w:rsid w:val="00ED11B4"/>
    <w:rsid w:val="00ED38FA"/>
    <w:rsid w:val="00EE6934"/>
    <w:rsid w:val="00EF6D05"/>
    <w:rsid w:val="00F17B84"/>
    <w:rsid w:val="00F2176C"/>
    <w:rsid w:val="00F4408B"/>
    <w:rsid w:val="00F56493"/>
    <w:rsid w:val="00F81B28"/>
    <w:rsid w:val="00F90BA5"/>
    <w:rsid w:val="00FA0669"/>
    <w:rsid w:val="00FA4F3D"/>
    <w:rsid w:val="00FB7B47"/>
    <w:rsid w:val="00FC48E2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7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2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29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6D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B6D5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6D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B6D59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745C1"/>
    <w:pPr>
      <w:ind w:left="708"/>
    </w:pPr>
  </w:style>
  <w:style w:type="paragraph" w:customStyle="1" w:styleId="Default">
    <w:name w:val="Default"/>
    <w:rsid w:val="000E49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6D51F7"/>
    <w:pPr>
      <w:tabs>
        <w:tab w:val="left" w:pos="567"/>
        <w:tab w:val="left" w:pos="993"/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6D51F7"/>
    <w:rPr>
      <w:rFonts w:ascii="Times New Roman" w:eastAsia="Times New Roman" w:hAnsi="Times New Roman"/>
      <w:sz w:val="24"/>
      <w:lang w:val="es-ES" w:eastAsia="es-ES"/>
    </w:rPr>
  </w:style>
  <w:style w:type="paragraph" w:customStyle="1" w:styleId="paragraph">
    <w:name w:val="paragraph"/>
    <w:basedOn w:val="Normal"/>
    <w:rsid w:val="000E1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normaltextrun">
    <w:name w:val="normaltextrun"/>
    <w:rsid w:val="000E1707"/>
  </w:style>
  <w:style w:type="character" w:styleId="Hipervnculo">
    <w:name w:val="Hyperlink"/>
    <w:uiPriority w:val="99"/>
    <w:unhideWhenUsed/>
    <w:rsid w:val="00A43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7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2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29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6D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B6D5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6D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B6D59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745C1"/>
    <w:pPr>
      <w:ind w:left="708"/>
    </w:pPr>
  </w:style>
  <w:style w:type="paragraph" w:customStyle="1" w:styleId="Default">
    <w:name w:val="Default"/>
    <w:rsid w:val="000E49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6D51F7"/>
    <w:pPr>
      <w:tabs>
        <w:tab w:val="left" w:pos="567"/>
        <w:tab w:val="left" w:pos="993"/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6D51F7"/>
    <w:rPr>
      <w:rFonts w:ascii="Times New Roman" w:eastAsia="Times New Roman" w:hAnsi="Times New Roman"/>
      <w:sz w:val="24"/>
      <w:lang w:val="es-ES" w:eastAsia="es-ES"/>
    </w:rPr>
  </w:style>
  <w:style w:type="paragraph" w:customStyle="1" w:styleId="paragraph">
    <w:name w:val="paragraph"/>
    <w:basedOn w:val="Normal"/>
    <w:rsid w:val="000E1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normaltextrun">
    <w:name w:val="normaltextrun"/>
    <w:rsid w:val="000E1707"/>
  </w:style>
  <w:style w:type="character" w:styleId="Hipervnculo">
    <w:name w:val="Hyperlink"/>
    <w:uiPriority w:val="99"/>
    <w:unhideWhenUsed/>
    <w:rsid w:val="00A43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9AD04CFC1344B835B649631E45D93" ma:contentTypeVersion="4" ma:contentTypeDescription="Crear nuevo documento." ma:contentTypeScope="" ma:versionID="a04bd1b83eac01aff23595c38650076a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1f26a0f048c5c6a95108bc592361370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fed31538-a13d-41b6-8cbe-7eb670d47b51">2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06092C-CBB3-495E-BD3A-B8A1D4D5CED9}"/>
</file>

<file path=customXml/itemProps2.xml><?xml version="1.0" encoding="utf-8"?>
<ds:datastoreItem xmlns:ds="http://schemas.openxmlformats.org/officeDocument/2006/customXml" ds:itemID="{52728898-419F-4396-BE28-E48EBB98AD2C}"/>
</file>

<file path=customXml/itemProps3.xml><?xml version="1.0" encoding="utf-8"?>
<ds:datastoreItem xmlns:ds="http://schemas.openxmlformats.org/officeDocument/2006/customXml" ds:itemID="{4FEF9A13-2D7A-44DE-85E4-8B0EDCB50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Oficio Solicitud de Pronunciamiento Mandante a Reajuste</dc:title>
  <dc:creator>Andrea Yeber Fernandez (Arquitectura)</dc:creator>
  <cp:lastModifiedBy>Edith Del Pino Correa (DOP)</cp:lastModifiedBy>
  <cp:revision>2</cp:revision>
  <cp:lastPrinted>2020-01-24T14:32:00Z</cp:lastPrinted>
  <dcterms:created xsi:type="dcterms:W3CDTF">2022-11-29T19:40:00Z</dcterms:created>
  <dcterms:modified xsi:type="dcterms:W3CDTF">2022-11-29T19:40:00Z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0x010100D9A9AD04CFC1344B835B649631E45D93</vt:lpwstr>
  </property>
</Properties>
</file>